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7EF4E" w14:textId="77777777" w:rsidR="00EC1395" w:rsidRDefault="002024D9" w:rsidP="002024D9">
      <w:pPr>
        <w:jc w:val="center"/>
      </w:pPr>
      <w:r>
        <w:t>Planning for the MYP</w:t>
      </w:r>
    </w:p>
    <w:tbl>
      <w:tblPr>
        <w:tblStyle w:val="TableGrid"/>
        <w:tblW w:w="0" w:type="auto"/>
        <w:tblLook w:val="04A0" w:firstRow="1" w:lastRow="0" w:firstColumn="1" w:lastColumn="0" w:noHBand="0" w:noVBand="1"/>
      </w:tblPr>
      <w:tblGrid>
        <w:gridCol w:w="6345"/>
        <w:gridCol w:w="3402"/>
        <w:gridCol w:w="3119"/>
        <w:gridCol w:w="2727"/>
      </w:tblGrid>
      <w:tr w:rsidR="002024D9" w14:paraId="3A2E7F17" w14:textId="77777777" w:rsidTr="002024D9">
        <w:tc>
          <w:tcPr>
            <w:tcW w:w="6345" w:type="dxa"/>
          </w:tcPr>
          <w:p w14:paraId="6D644C17" w14:textId="77777777" w:rsidR="002024D9" w:rsidRDefault="002024D9"/>
        </w:tc>
        <w:tc>
          <w:tcPr>
            <w:tcW w:w="3402" w:type="dxa"/>
          </w:tcPr>
          <w:p w14:paraId="3BC7F682" w14:textId="77777777" w:rsidR="002024D9" w:rsidRDefault="002024D9" w:rsidP="002024D9">
            <w:pPr>
              <w:jc w:val="center"/>
            </w:pPr>
            <w:r>
              <w:t>Already done*</w:t>
            </w:r>
          </w:p>
        </w:tc>
        <w:tc>
          <w:tcPr>
            <w:tcW w:w="3119" w:type="dxa"/>
          </w:tcPr>
          <w:p w14:paraId="01489F4A" w14:textId="77777777" w:rsidR="002024D9" w:rsidRDefault="002024D9" w:rsidP="002024D9">
            <w:pPr>
              <w:jc w:val="center"/>
            </w:pPr>
            <w:r>
              <w:t>Easy to do*</w:t>
            </w:r>
          </w:p>
        </w:tc>
        <w:tc>
          <w:tcPr>
            <w:tcW w:w="2727" w:type="dxa"/>
          </w:tcPr>
          <w:p w14:paraId="5A1386FD" w14:textId="77777777" w:rsidR="002024D9" w:rsidRDefault="002024D9" w:rsidP="002024D9">
            <w:pPr>
              <w:jc w:val="center"/>
            </w:pPr>
            <w:r>
              <w:t>Might be difficult*</w:t>
            </w:r>
          </w:p>
        </w:tc>
      </w:tr>
      <w:tr w:rsidR="002024D9" w14:paraId="339F808F" w14:textId="77777777" w:rsidTr="002024D9">
        <w:trPr>
          <w:trHeight w:val="1471"/>
        </w:trPr>
        <w:tc>
          <w:tcPr>
            <w:tcW w:w="6345" w:type="dxa"/>
            <w:vAlign w:val="center"/>
          </w:tcPr>
          <w:p w14:paraId="24CE58DE" w14:textId="77777777" w:rsidR="002024D9" w:rsidRDefault="002024D9" w:rsidP="002024D9">
            <w:pPr>
              <w:jc w:val="center"/>
            </w:pPr>
            <w:r>
              <w:rPr>
                <w:lang w:val="en-GB"/>
              </w:rPr>
              <w:t>T</w:t>
            </w:r>
            <w:r w:rsidRPr="002024D9">
              <w:rPr>
                <w:lang w:val="en-GB"/>
              </w:rPr>
              <w:t>he student is at the centre of all teaching and learning</w:t>
            </w:r>
            <w:r>
              <w:rPr>
                <w:b/>
                <w:bCs/>
                <w:lang w:val="en-GB"/>
              </w:rPr>
              <w:t xml:space="preserve"> </w:t>
            </w:r>
            <w:r w:rsidRPr="002024D9">
              <w:rPr>
                <w:bCs/>
                <w:lang w:val="en-GB"/>
              </w:rPr>
              <w:t>that</w:t>
            </w:r>
            <w:r>
              <w:rPr>
                <w:b/>
                <w:bCs/>
                <w:lang w:val="en-GB"/>
              </w:rPr>
              <w:t xml:space="preserve"> </w:t>
            </w:r>
            <w:r>
              <w:rPr>
                <w:lang w:val="en-GB"/>
              </w:rPr>
              <w:t>attempts</w:t>
            </w:r>
            <w:r w:rsidRPr="002024D9">
              <w:rPr>
                <w:lang w:val="en-GB"/>
              </w:rPr>
              <w:t xml:space="preserve"> to meet the diverse needs of the students</w:t>
            </w:r>
          </w:p>
        </w:tc>
        <w:tc>
          <w:tcPr>
            <w:tcW w:w="3402" w:type="dxa"/>
          </w:tcPr>
          <w:p w14:paraId="1B340961" w14:textId="77777777" w:rsidR="002024D9" w:rsidRDefault="002024D9"/>
        </w:tc>
        <w:tc>
          <w:tcPr>
            <w:tcW w:w="3119" w:type="dxa"/>
          </w:tcPr>
          <w:p w14:paraId="365881B7" w14:textId="77777777" w:rsidR="002024D9" w:rsidRDefault="002024D9" w:rsidP="006F14B9">
            <w:pPr>
              <w:pStyle w:val="ListParagraph"/>
              <w:numPr>
                <w:ilvl w:val="0"/>
                <w:numId w:val="1"/>
              </w:numPr>
            </w:pPr>
          </w:p>
        </w:tc>
        <w:tc>
          <w:tcPr>
            <w:tcW w:w="2727" w:type="dxa"/>
          </w:tcPr>
          <w:p w14:paraId="7C751B26" w14:textId="77777777" w:rsidR="002024D9" w:rsidRDefault="002024D9"/>
        </w:tc>
      </w:tr>
      <w:tr w:rsidR="002024D9" w14:paraId="505B21C9" w14:textId="77777777" w:rsidTr="002024D9">
        <w:trPr>
          <w:trHeight w:val="1471"/>
        </w:trPr>
        <w:tc>
          <w:tcPr>
            <w:tcW w:w="6345" w:type="dxa"/>
            <w:vAlign w:val="center"/>
          </w:tcPr>
          <w:p w14:paraId="0913BC41" w14:textId="77777777" w:rsidR="002024D9" w:rsidRDefault="002024D9" w:rsidP="002024D9">
            <w:pPr>
              <w:jc w:val="center"/>
            </w:pPr>
            <w:r>
              <w:rPr>
                <w:lang w:val="en-GB"/>
              </w:rPr>
              <w:t>C</w:t>
            </w:r>
            <w:r w:rsidRPr="002024D9">
              <w:rPr>
                <w:lang w:val="en-GB"/>
              </w:rPr>
              <w:t>oncurrency of learning is addressed—all eight subjects groups are taught in a sustained manner throughout the school year, each and every year of the programme.</w:t>
            </w:r>
          </w:p>
        </w:tc>
        <w:tc>
          <w:tcPr>
            <w:tcW w:w="3402" w:type="dxa"/>
          </w:tcPr>
          <w:p w14:paraId="5529B5F8" w14:textId="77777777" w:rsidR="002024D9" w:rsidRDefault="002024D9"/>
        </w:tc>
        <w:tc>
          <w:tcPr>
            <w:tcW w:w="3119" w:type="dxa"/>
          </w:tcPr>
          <w:p w14:paraId="3C36D950" w14:textId="77777777" w:rsidR="002024D9" w:rsidRDefault="002024D9" w:rsidP="006F14B9">
            <w:pPr>
              <w:pStyle w:val="ListParagraph"/>
              <w:numPr>
                <w:ilvl w:val="0"/>
                <w:numId w:val="1"/>
              </w:numPr>
            </w:pPr>
          </w:p>
        </w:tc>
        <w:tc>
          <w:tcPr>
            <w:tcW w:w="2727" w:type="dxa"/>
          </w:tcPr>
          <w:p w14:paraId="1F3BB352" w14:textId="77777777" w:rsidR="002024D9" w:rsidRDefault="002024D9"/>
        </w:tc>
      </w:tr>
      <w:tr w:rsidR="002024D9" w14:paraId="305BD119" w14:textId="77777777" w:rsidTr="002024D9">
        <w:trPr>
          <w:trHeight w:val="1471"/>
        </w:trPr>
        <w:tc>
          <w:tcPr>
            <w:tcW w:w="6345" w:type="dxa"/>
            <w:vAlign w:val="center"/>
          </w:tcPr>
          <w:p w14:paraId="532C036B" w14:textId="77777777" w:rsidR="002024D9" w:rsidRDefault="002024D9" w:rsidP="002024D9">
            <w:pPr>
              <w:jc w:val="center"/>
            </w:pPr>
            <w:r w:rsidRPr="002024D9">
              <w:rPr>
                <w:lang w:val="en-GB"/>
              </w:rPr>
              <w:t xml:space="preserve">Language B – </w:t>
            </w:r>
            <w:r>
              <w:rPr>
                <w:lang w:val="en-GB"/>
              </w:rPr>
              <w:t xml:space="preserve">the </w:t>
            </w:r>
            <w:r w:rsidRPr="002024D9">
              <w:rPr>
                <w:lang w:val="en-GB"/>
              </w:rPr>
              <w:t xml:space="preserve">same language </w:t>
            </w:r>
            <w:r>
              <w:rPr>
                <w:lang w:val="en-GB"/>
              </w:rPr>
              <w:t xml:space="preserve">is </w:t>
            </w:r>
            <w:r w:rsidRPr="002024D9">
              <w:rPr>
                <w:lang w:val="en-GB"/>
              </w:rPr>
              <w:t>sustained over the course of the year, each year of the programme.</w:t>
            </w:r>
          </w:p>
        </w:tc>
        <w:tc>
          <w:tcPr>
            <w:tcW w:w="3402" w:type="dxa"/>
          </w:tcPr>
          <w:p w14:paraId="5A8C132F" w14:textId="77777777" w:rsidR="002024D9" w:rsidRDefault="002024D9" w:rsidP="006F14B9">
            <w:pPr>
              <w:pStyle w:val="ListParagraph"/>
              <w:numPr>
                <w:ilvl w:val="0"/>
                <w:numId w:val="1"/>
              </w:numPr>
            </w:pPr>
          </w:p>
        </w:tc>
        <w:tc>
          <w:tcPr>
            <w:tcW w:w="3119" w:type="dxa"/>
          </w:tcPr>
          <w:p w14:paraId="4AC8E0D1" w14:textId="77777777" w:rsidR="002024D9" w:rsidRDefault="002024D9"/>
        </w:tc>
        <w:tc>
          <w:tcPr>
            <w:tcW w:w="2727" w:type="dxa"/>
          </w:tcPr>
          <w:p w14:paraId="17659D9A" w14:textId="77777777" w:rsidR="002024D9" w:rsidRDefault="002024D9"/>
        </w:tc>
      </w:tr>
      <w:tr w:rsidR="002024D9" w14:paraId="306B9326" w14:textId="77777777" w:rsidTr="002024D9">
        <w:trPr>
          <w:trHeight w:val="1471"/>
        </w:trPr>
        <w:tc>
          <w:tcPr>
            <w:tcW w:w="6345" w:type="dxa"/>
            <w:vAlign w:val="center"/>
          </w:tcPr>
          <w:p w14:paraId="4D716FBE" w14:textId="77777777" w:rsidR="002024D9" w:rsidRDefault="002024D9" w:rsidP="002024D9">
            <w:pPr>
              <w:jc w:val="center"/>
            </w:pPr>
            <w:r w:rsidRPr="002024D9">
              <w:rPr>
                <w:lang w:val="en-GB"/>
              </w:rPr>
              <w:t>Arts – Students must engage in structured learning in both visual and performing arts at some point during the programme.</w:t>
            </w:r>
          </w:p>
        </w:tc>
        <w:tc>
          <w:tcPr>
            <w:tcW w:w="3402" w:type="dxa"/>
          </w:tcPr>
          <w:p w14:paraId="13D8A6B1" w14:textId="77777777" w:rsidR="002024D9" w:rsidRDefault="002024D9" w:rsidP="006F14B9">
            <w:pPr>
              <w:pStyle w:val="ListParagraph"/>
              <w:numPr>
                <w:ilvl w:val="0"/>
                <w:numId w:val="1"/>
              </w:numPr>
            </w:pPr>
          </w:p>
        </w:tc>
        <w:tc>
          <w:tcPr>
            <w:tcW w:w="3119" w:type="dxa"/>
          </w:tcPr>
          <w:p w14:paraId="797F7F88" w14:textId="77777777" w:rsidR="002024D9" w:rsidRDefault="002024D9"/>
        </w:tc>
        <w:tc>
          <w:tcPr>
            <w:tcW w:w="2727" w:type="dxa"/>
          </w:tcPr>
          <w:p w14:paraId="2B4C7D31" w14:textId="77777777" w:rsidR="002024D9" w:rsidRDefault="002024D9"/>
        </w:tc>
      </w:tr>
      <w:tr w:rsidR="002024D9" w14:paraId="2E106C31" w14:textId="77777777" w:rsidTr="002024D9">
        <w:trPr>
          <w:trHeight w:val="1471"/>
        </w:trPr>
        <w:tc>
          <w:tcPr>
            <w:tcW w:w="6345" w:type="dxa"/>
            <w:vAlign w:val="center"/>
          </w:tcPr>
          <w:p w14:paraId="29F8E42F" w14:textId="77777777" w:rsidR="002024D9" w:rsidRDefault="002024D9" w:rsidP="002024D9">
            <w:pPr>
              <w:jc w:val="center"/>
            </w:pPr>
            <w:r w:rsidRPr="002024D9">
              <w:rPr>
                <w:lang w:val="en-GB"/>
              </w:rPr>
              <w:t>Technology – Schools must teach the aims and objectives according to the subject guide as well as teaching all three branches of technology (information, design and systems) during the course of the programme. This course is more than a study of ICT.</w:t>
            </w:r>
          </w:p>
        </w:tc>
        <w:tc>
          <w:tcPr>
            <w:tcW w:w="3402" w:type="dxa"/>
          </w:tcPr>
          <w:p w14:paraId="4C56AE93" w14:textId="77777777" w:rsidR="002024D9" w:rsidRDefault="002024D9"/>
        </w:tc>
        <w:tc>
          <w:tcPr>
            <w:tcW w:w="3119" w:type="dxa"/>
          </w:tcPr>
          <w:p w14:paraId="34740C87" w14:textId="77777777" w:rsidR="002024D9" w:rsidRDefault="002024D9" w:rsidP="006F14B9">
            <w:pPr>
              <w:pStyle w:val="ListParagraph"/>
              <w:numPr>
                <w:ilvl w:val="0"/>
                <w:numId w:val="1"/>
              </w:numPr>
            </w:pPr>
          </w:p>
        </w:tc>
        <w:tc>
          <w:tcPr>
            <w:tcW w:w="2727" w:type="dxa"/>
          </w:tcPr>
          <w:p w14:paraId="631169B0" w14:textId="77777777" w:rsidR="002024D9" w:rsidRDefault="002024D9"/>
        </w:tc>
      </w:tr>
      <w:tr w:rsidR="002024D9" w14:paraId="19E09F7E" w14:textId="77777777" w:rsidTr="002024D9">
        <w:trPr>
          <w:trHeight w:val="1471"/>
        </w:trPr>
        <w:tc>
          <w:tcPr>
            <w:tcW w:w="6345" w:type="dxa"/>
            <w:vAlign w:val="center"/>
          </w:tcPr>
          <w:p w14:paraId="471352D1" w14:textId="77777777" w:rsidR="002024D9" w:rsidRDefault="002024D9" w:rsidP="002024D9">
            <w:pPr>
              <w:jc w:val="center"/>
            </w:pPr>
            <w:r>
              <w:rPr>
                <w:lang w:val="en-GB"/>
              </w:rPr>
              <w:t>PE must be s</w:t>
            </w:r>
            <w:r w:rsidRPr="002024D9">
              <w:rPr>
                <w:lang w:val="en-GB"/>
              </w:rPr>
              <w:t>ustained over the course of the year and taught by trained, professional PE teachers.</w:t>
            </w:r>
          </w:p>
        </w:tc>
        <w:tc>
          <w:tcPr>
            <w:tcW w:w="3402" w:type="dxa"/>
          </w:tcPr>
          <w:p w14:paraId="4B5CEC8C" w14:textId="77777777" w:rsidR="002024D9" w:rsidRDefault="002024D9" w:rsidP="006F14B9">
            <w:pPr>
              <w:pStyle w:val="ListParagraph"/>
              <w:numPr>
                <w:ilvl w:val="0"/>
                <w:numId w:val="1"/>
              </w:numPr>
            </w:pPr>
            <w:bookmarkStart w:id="0" w:name="_GoBack"/>
            <w:bookmarkEnd w:id="0"/>
          </w:p>
        </w:tc>
        <w:tc>
          <w:tcPr>
            <w:tcW w:w="3119" w:type="dxa"/>
          </w:tcPr>
          <w:p w14:paraId="46EBA1C8" w14:textId="77777777" w:rsidR="002024D9" w:rsidRDefault="002024D9"/>
        </w:tc>
        <w:tc>
          <w:tcPr>
            <w:tcW w:w="2727" w:type="dxa"/>
          </w:tcPr>
          <w:p w14:paraId="58AA5736" w14:textId="77777777" w:rsidR="002024D9" w:rsidRDefault="002024D9"/>
        </w:tc>
      </w:tr>
    </w:tbl>
    <w:p w14:paraId="59535553" w14:textId="77777777" w:rsidR="002024D9" w:rsidRDefault="002024D9">
      <w:r>
        <w:t>*Comment, where appropriate</w:t>
      </w:r>
    </w:p>
    <w:sectPr w:rsidR="002024D9" w:rsidSect="002024D9">
      <w:pgSz w:w="16817" w:h="11901" w:orient="landscape"/>
      <w:pgMar w:top="720" w:right="720" w:bottom="720" w:left="720"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B61F8"/>
    <w:multiLevelType w:val="hybridMultilevel"/>
    <w:tmpl w:val="0980B4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defaultTabStop w:val="720"/>
  <w:drawingGridHorizontalSpacing w:val="284"/>
  <w:drawingGridVerticalSpacing w:val="284"/>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D9"/>
    <w:rsid w:val="00063BC4"/>
    <w:rsid w:val="002024D9"/>
    <w:rsid w:val="00267C9C"/>
    <w:rsid w:val="002E3FD0"/>
    <w:rsid w:val="003A7F44"/>
    <w:rsid w:val="0051549B"/>
    <w:rsid w:val="006F14B9"/>
    <w:rsid w:val="007B4EFB"/>
    <w:rsid w:val="007C7FD0"/>
    <w:rsid w:val="00804D58"/>
    <w:rsid w:val="00B2413D"/>
    <w:rsid w:val="00BA3BC9"/>
    <w:rsid w:val="00C96C24"/>
    <w:rsid w:val="00D17780"/>
    <w:rsid w:val="00E54789"/>
    <w:rsid w:val="00E77706"/>
    <w:rsid w:val="00EC139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71F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F44"/>
    <w:rPr>
      <w:rFonts w:ascii="Arial" w:hAnsi="Arial"/>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24D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14B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F44"/>
    <w:rPr>
      <w:rFonts w:ascii="Arial" w:hAnsi="Arial"/>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24D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1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1347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144</Words>
  <Characters>825</Characters>
  <Application>Microsoft Macintosh Word</Application>
  <DocSecurity>0</DocSecurity>
  <Lines>6</Lines>
  <Paragraphs>1</Paragraphs>
  <ScaleCrop>false</ScaleCrop>
  <Company>MV Education Services</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Vivian</dc:creator>
  <cp:keywords/>
  <dc:description/>
  <cp:lastModifiedBy>Anne</cp:lastModifiedBy>
  <cp:revision>3</cp:revision>
  <dcterms:created xsi:type="dcterms:W3CDTF">2012-03-12T01:51:00Z</dcterms:created>
  <dcterms:modified xsi:type="dcterms:W3CDTF">2012-03-12T05:59:00Z</dcterms:modified>
</cp:coreProperties>
</file>